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89" w:rsidRDefault="003D2A89" w:rsidP="00AA5089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</w:t>
      </w:r>
      <w:r w:rsidR="007F611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</w:t>
      </w:r>
      <w:r w:rsidRPr="000E3C9E">
        <w:rPr>
          <w:rFonts w:ascii="標楷體" w:eastAsia="標楷體" w:hAnsi="標楷體" w:hint="eastAsia"/>
          <w:sz w:val="36"/>
        </w:rPr>
        <w:t>各學</w:t>
      </w:r>
      <w:r>
        <w:rPr>
          <w:rFonts w:ascii="標楷體" w:eastAsia="標楷體" w:hAnsi="標楷體" w:hint="eastAsia"/>
          <w:sz w:val="36"/>
        </w:rPr>
        <w:t>系畢業滿五年畢業生主要分布之工作行業類型</w:t>
      </w:r>
    </w:p>
    <w:p w:rsidR="00AA5089" w:rsidRDefault="00AA5089" w:rsidP="00AA5089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文創系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企管系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旅遊系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財金系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管理學院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F6117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F611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46.67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7F6117" w:rsidRPr="00FD220B">
              <w:rPr>
                <w:rFonts w:ascii="Times New Roman" w:eastAsia="標楷體" w:hAnsi="Times New Roman" w:cs="Times New Roman" w:hint="eastAsia"/>
                <w:szCs w:val="24"/>
              </w:rPr>
              <w:t>批發及零售業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F611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13.33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7F611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F611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6.67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F6117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56.86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13.73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0A603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支援服務業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0A603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0A6035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金融及保險業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11.76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支援服務業</w:t>
            </w:r>
          </w:p>
          <w:p w:rsidR="00AA5089" w:rsidRPr="00FD220B" w:rsidRDefault="00AA5089" w:rsidP="000A603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603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AA5089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支援服務業</w:t>
            </w:r>
          </w:p>
          <w:p w:rsidR="00315634" w:rsidRPr="00FD220B" w:rsidRDefault="00AA5089" w:rsidP="00FF09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3D2A89" w:rsidRPr="00FD220B" w:rsidRDefault="003D2A89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文學系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外文系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幼教系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生死系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人文學院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批發及零售業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17.6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專業、科學及技術服務業</w:t>
            </w:r>
          </w:p>
          <w:p w:rsidR="00AA5089" w:rsidRPr="00FD220B" w:rsidRDefault="00AA5089" w:rsidP="00FF09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26.09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金融及保險業</w:t>
            </w:r>
          </w:p>
          <w:p w:rsidR="00AA5089" w:rsidRPr="00FD220B" w:rsidRDefault="00AA5089" w:rsidP="00FF09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FF09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公共行政及國防、強制性社會安全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AA5089" w:rsidRPr="00FD220B" w:rsidRDefault="00AA5089" w:rsidP="00FF09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FF0915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FF0915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BE2FDA" w:rsidRPr="00FD220B" w:rsidRDefault="00315634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公共行政及國防、強制性社會安全</w:t>
            </w:r>
          </w:p>
          <w:p w:rsidR="00AA5089" w:rsidRPr="00FD220B" w:rsidRDefault="00AA508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3D2A89" w:rsidRPr="00FD220B" w:rsidRDefault="003D2A89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DE5981" w:rsidRPr="00FD220B" w:rsidTr="00FD220B">
        <w:trPr>
          <w:jc w:val="center"/>
        </w:trPr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國際系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傳播系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應社系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社會科學院</w:t>
            </w:r>
          </w:p>
        </w:tc>
      </w:tr>
      <w:tr w:rsidR="00DE5981" w:rsidRPr="00FD220B" w:rsidTr="00FD220B">
        <w:trPr>
          <w:jc w:val="center"/>
        </w:trPr>
        <w:tc>
          <w:tcPr>
            <w:tcW w:w="2778" w:type="dxa"/>
          </w:tcPr>
          <w:p w:rsidR="00086133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BE2FDA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出版、影音製作、傳播及資通訊服務業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AA5089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315634" w:rsidRPr="00FD220B" w:rsidRDefault="00AA508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醫療保健及社會工作服務業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出版、影音製作、傳播及資通訊服務業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086133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住宿及餐飲業</w:t>
            </w:r>
          </w:p>
          <w:p w:rsidR="00AA5089" w:rsidRPr="00FD220B" w:rsidRDefault="00AA508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315634" w:rsidRPr="00FD220B" w:rsidRDefault="00315634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民音系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建景系</w:t>
            </w:r>
          </w:p>
        </w:tc>
        <w:tc>
          <w:tcPr>
            <w:tcW w:w="2211" w:type="dxa"/>
          </w:tcPr>
          <w:p w:rsidR="00315634" w:rsidRPr="00FD220B" w:rsidRDefault="00315634" w:rsidP="00F01C6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產</w:t>
            </w:r>
            <w:r w:rsidR="00F01C69">
              <w:rPr>
                <w:rFonts w:ascii="Times New Roman" w:eastAsia="標楷體" w:hAnsi="Times New Roman" w:cs="Times New Roman" w:hint="eastAsia"/>
                <w:b/>
                <w:szCs w:val="24"/>
              </w:rPr>
              <w:t>設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視設系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藝術學院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藝術、娛樂及休閒服務業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4F0E99" w:rsidRPr="00FD220B" w:rsidRDefault="00315634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4F0E99" w:rsidRPr="00FD220B">
              <w:rPr>
                <w:rFonts w:ascii="Times New Roman" w:eastAsia="標楷體" w:hAnsi="Times New Roman" w:cs="Times New Roman" w:hint="eastAsia"/>
                <w:szCs w:val="24"/>
              </w:rPr>
              <w:t>營建工程業</w:t>
            </w:r>
          </w:p>
          <w:p w:rsidR="004F0E99" w:rsidRPr="00FD220B" w:rsidRDefault="004F0E99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4F0E99" w:rsidRPr="00FD220B" w:rsidRDefault="00315634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E2FDA" w:rsidRPr="00FD220B">
              <w:rPr>
                <w:rFonts w:ascii="Times New Roman" w:eastAsia="標楷體" w:hAnsi="Times New Roman" w:cs="Times New Roman" w:hint="eastAsia"/>
                <w:szCs w:val="24"/>
              </w:rPr>
              <w:t>藝術、娛樂及休閒服務業</w:t>
            </w:r>
          </w:p>
          <w:p w:rsidR="00AA5089" w:rsidRPr="00FD220B" w:rsidRDefault="004F0E99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0.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4F0E99" w:rsidRPr="00FD220B" w:rsidRDefault="00315634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4F0E99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4F0E99" w:rsidP="00BE2F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.0</w:t>
            </w:r>
            <w:r w:rsidR="00BE2F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4F0E99" w:rsidRPr="00FD220B" w:rsidRDefault="00315634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4F0E99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4F0E99" w:rsidRPr="00FD220B" w:rsidRDefault="00315634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專業、科學及技術服務業</w:t>
            </w:r>
          </w:p>
          <w:p w:rsidR="004F0E99" w:rsidRPr="00FD220B" w:rsidRDefault="004F0E99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(17.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4F0E99" w:rsidRPr="00FD220B" w:rsidRDefault="00315634" w:rsidP="004F0E9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批發及零售業</w:t>
            </w:r>
          </w:p>
          <w:p w:rsidR="00AA5089" w:rsidRPr="00FD220B" w:rsidRDefault="004F0E99" w:rsidP="0012440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藝術、娛樂及休閒服務業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63.64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批發及零售業</w:t>
            </w:r>
          </w:p>
          <w:p w:rsidR="00AA5089" w:rsidRPr="00FD220B" w:rsidRDefault="00AA5089" w:rsidP="0012440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藝術、娛樂及休閒服務業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營建工程業</w:t>
            </w:r>
          </w:p>
          <w:p w:rsidR="00AA5089" w:rsidRPr="00FD220B" w:rsidRDefault="00AA5089" w:rsidP="0012440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315634" w:rsidRPr="00FD220B" w:rsidRDefault="00315634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DE5981" w:rsidRPr="00FD220B" w:rsidTr="00FD220B">
        <w:trPr>
          <w:jc w:val="center"/>
        </w:trPr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生技系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資工系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資管系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科技學院</w:t>
            </w:r>
          </w:p>
        </w:tc>
      </w:tr>
      <w:tr w:rsidR="00DE5981" w:rsidRPr="00FD220B" w:rsidTr="00FD220B">
        <w:trPr>
          <w:jc w:val="center"/>
        </w:trPr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醫療保健及社會工作服務業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農、林、漁、牧業</w:t>
            </w:r>
          </w:p>
          <w:p w:rsidR="00AA5089" w:rsidRPr="00FD220B" w:rsidRDefault="00AA5089" w:rsidP="0012440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4F0E9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A25FE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專業、科學及技術服務業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A25FE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營建工程業</w:t>
            </w:r>
          </w:p>
          <w:p w:rsidR="00AA5089" w:rsidRPr="00FD220B" w:rsidRDefault="00AA5089" w:rsidP="0012440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A25FE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專業、科學及技術服務業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A25FE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124408" w:rsidRPr="00FD220B">
              <w:rPr>
                <w:rFonts w:ascii="Times New Roman" w:eastAsia="標楷體" w:hAnsi="Times New Roman" w:cs="Times New Roman" w:hint="eastAsia"/>
                <w:szCs w:val="24"/>
              </w:rPr>
              <w:t>支援服務業</w:t>
            </w:r>
          </w:p>
          <w:p w:rsidR="00AA5089" w:rsidRPr="00FD220B" w:rsidRDefault="00AA5089" w:rsidP="00A25F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A25FE7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="00124408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577C1B" w:rsidRPr="00FD220B">
              <w:rPr>
                <w:rFonts w:ascii="Times New Roman" w:eastAsia="標楷體" w:hAnsi="Times New Roman" w:cs="Times New Roman" w:hint="eastAsia"/>
                <w:szCs w:val="24"/>
              </w:rPr>
              <w:t>其他服務業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77C1B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77C1B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77C1B" w:rsidRPr="00FD220B">
              <w:rPr>
                <w:rFonts w:ascii="Times New Roman" w:eastAsia="標楷體" w:hAnsi="Times New Roman" w:cs="Times New Roman" w:hint="eastAsia"/>
                <w:szCs w:val="24"/>
              </w:rPr>
              <w:t>專業、科學及技術服務業</w:t>
            </w:r>
          </w:p>
          <w:p w:rsidR="00AA5089" w:rsidRPr="00FD220B" w:rsidRDefault="00AA5089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577C1B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77C1B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15634" w:rsidRPr="00FD220B" w:rsidRDefault="00315634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577C1B" w:rsidRPr="00FD220B">
              <w:rPr>
                <w:rFonts w:ascii="Times New Roman" w:eastAsia="標楷體" w:hAnsi="Times New Roman" w:cs="Times New Roman" w:hint="eastAsia"/>
                <w:szCs w:val="24"/>
              </w:rPr>
              <w:t>製造業</w:t>
            </w:r>
          </w:p>
          <w:p w:rsidR="00AA5089" w:rsidRPr="00FD220B" w:rsidRDefault="00AA5089" w:rsidP="00577C1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577C1B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21343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="00577C1B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B23809" w:rsidRDefault="00B23809" w:rsidP="00AA5089">
      <w:pPr>
        <w:adjustRightInd w:val="0"/>
        <w:snapToGrid w:val="0"/>
      </w:pPr>
    </w:p>
    <w:p w:rsidR="00B23809" w:rsidRDefault="00B23809">
      <w:pPr>
        <w:widowControl/>
      </w:pPr>
      <w:r>
        <w:br w:type="page"/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807"/>
      </w:tblGrid>
      <w:tr w:rsidR="00B23809" w:rsidRPr="005A692A" w:rsidTr="00B23809">
        <w:trPr>
          <w:trHeight w:val="32"/>
          <w:tblHeader/>
          <w:tblCellSpacing w:w="1440" w:type="nil"/>
        </w:trPr>
        <w:tc>
          <w:tcPr>
            <w:tcW w:w="1546" w:type="pct"/>
            <w:shd w:val="clear" w:color="auto" w:fill="DDD9C3" w:themeFill="background2" w:themeFillShade="E6"/>
            <w:vAlign w:val="center"/>
          </w:tcPr>
          <w:p w:rsidR="00B23809" w:rsidRPr="005A692A" w:rsidRDefault="00B23809" w:rsidP="00B23809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b/>
                <w:color w:val="000000" w:themeColor="text1"/>
              </w:rPr>
              <w:lastRenderedPageBreak/>
              <w:t>主計處行業類別</w:t>
            </w:r>
          </w:p>
        </w:tc>
        <w:tc>
          <w:tcPr>
            <w:tcW w:w="3454" w:type="pct"/>
            <w:shd w:val="clear" w:color="auto" w:fill="DDD9C3" w:themeFill="background2" w:themeFillShade="E6"/>
            <w:vAlign w:val="center"/>
          </w:tcPr>
          <w:p w:rsidR="00B23809" w:rsidRPr="005A692A" w:rsidRDefault="00B23809" w:rsidP="00B23809">
            <w:pPr>
              <w:ind w:leftChars="1" w:left="535" w:hangingChars="222" w:hanging="533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b/>
                <w:color w:val="000000" w:themeColor="text1"/>
              </w:rPr>
              <w:t>說明</w:t>
            </w:r>
          </w:p>
        </w:tc>
      </w:tr>
      <w:tr w:rsidR="00B23809" w:rsidRPr="005A692A" w:rsidTr="00B23809">
        <w:trPr>
          <w:trHeight w:val="32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農、林、漁、牧業(A)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 w:hint="eastAsia"/>
                <w:color w:val="000000" w:themeColor="text1"/>
              </w:rPr>
              <w:t>從事農作物栽培、畜牧、農事及畜牧服務、造林、伐木及採集、漁撈及水產養殖等之行業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礦業及土石採取業(B)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石油及天然氣、砂、石及黏土、其他礦業及土石採取業等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製造業(C)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電力及燃氣供應業(D)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 w:hint="eastAsia"/>
                <w:color w:val="000000" w:themeColor="text1"/>
              </w:rPr>
              <w:t>從事電力、氣體燃料及蒸汽供應之行業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="461" w:hangingChars="192" w:hanging="461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用水供應及污染整治業(E)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用水供應業、廢（污）水處理、廢棄物清除、處理及資源回收業等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營建工程業(F)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建築工程、土木工程、專門營造等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批發及零售業(G)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 w:hint="eastAsia"/>
                <w:color w:val="000000" w:themeColor="text1"/>
              </w:rPr>
              <w:t>從事有形商品之批發、零售、經紀及代理之行業；銷售商品所附帶不改變商品本質之簡單處理，如包裝、清洗、分級、摻混、運送、安裝、修理等亦歸入本類。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E404BC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運輸及倉儲業(H)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海陸空運輸、郵政及快遞、倉儲等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E404BC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住宿及餐飲業(I)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 w:hint="eastAsia"/>
                <w:color w:val="000000" w:themeColor="text1"/>
              </w:rPr>
              <w:t>從事短期或臨時性住宿服務及餐飲服務之行業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604" w:hangingChars="251" w:hanging="60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出版、影音製作、傳播及資通訊服務業(J)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金融及保險業(K)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金融仲介、保險、證券期貨及其他金融業等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不動產業(L)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不動產開發、都市更新、不動產經營及相關服務等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604" w:hangingChars="251" w:hanging="60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專業、科學及技術服務業(M)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法律、會計、企業總管理機構及管理顧問、建築、工程服務及技術檢測、分析服務、能源技術服務、研究發展、廣告及市場研究、專門設計、獸醫、攝影、翻譯、藝人及模特兒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支援服務業(N)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租賃業、就業服務業、旅行業、保全及私家偵探、建築物及綠化服務、會議展覽服務、業務及辦公室支援服務等</w:t>
            </w:r>
          </w:p>
        </w:tc>
      </w:tr>
      <w:tr w:rsidR="00B23809" w:rsidRPr="005A692A" w:rsidTr="00B23809">
        <w:trPr>
          <w:trHeight w:val="720"/>
          <w:tblCellSpacing w:w="1440" w:type="nil"/>
        </w:trPr>
        <w:tc>
          <w:tcPr>
            <w:tcW w:w="1546" w:type="pct"/>
            <w:vMerge w:val="restart"/>
            <w:vAlign w:val="center"/>
          </w:tcPr>
          <w:p w:rsidR="00B23809" w:rsidRPr="005A692A" w:rsidRDefault="00B23809" w:rsidP="00B23809">
            <w:pPr>
              <w:ind w:leftChars="1" w:left="604" w:hangingChars="251" w:hanging="60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公共行政及國防、強制性社會安全(O)</w:t>
            </w:r>
          </w:p>
        </w:tc>
        <w:tc>
          <w:tcPr>
            <w:tcW w:w="3454" w:type="pct"/>
            <w:vMerge w:val="restar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公共行政業、國防事務、強制性社會安全、國際組織及外國機構等</w:t>
            </w:r>
          </w:p>
        </w:tc>
      </w:tr>
      <w:tr w:rsidR="00B23809" w:rsidRPr="005A692A" w:rsidTr="00B23809">
        <w:trPr>
          <w:trHeight w:val="360"/>
          <w:tblCellSpacing w:w="1440" w:type="nil"/>
        </w:trPr>
        <w:tc>
          <w:tcPr>
            <w:tcW w:w="1546" w:type="pct"/>
            <w:vMerge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454" w:type="pct"/>
            <w:vMerge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教育業(P)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學前、小學、中學、大專校院、特殊教育、外語教育、藝術教育、運動及休閒教育商業、資訊及專業管理教育等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604" w:hangingChars="251" w:hanging="60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醫療保健及社會工作服務業(Q)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醫療保健服務、居住照顧服務、其他社會工作服務等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604" w:hangingChars="251" w:hanging="60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藝術、娛樂及休閒服務業(R)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創作及藝術表演、圖書館、檔案保存、博物館及類似機構、博弈業、運動、娛樂及休閒服務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  <w:tr w:rsidR="00B23809" w:rsidRPr="005A692A" w:rsidTr="00B23809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:rsidR="00B23809" w:rsidRPr="005A692A" w:rsidRDefault="00B23809" w:rsidP="00B23809">
            <w:pPr>
              <w:ind w:leftChars="1" w:left="235" w:hangingChars="97" w:hanging="233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其他服務業(S)</w:t>
            </w:r>
          </w:p>
        </w:tc>
        <w:tc>
          <w:tcPr>
            <w:tcW w:w="3454" w:type="pct"/>
            <w:vAlign w:val="center"/>
          </w:tcPr>
          <w:p w:rsidR="00B23809" w:rsidRPr="005A692A" w:rsidRDefault="00B23809" w:rsidP="00B23809">
            <w:pPr>
              <w:ind w:left="2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5A692A">
              <w:rPr>
                <w:rFonts w:ascii="標楷體" w:eastAsia="標楷體" w:hAnsi="標楷體" w:cs="Arial"/>
                <w:color w:val="000000" w:themeColor="text1"/>
              </w:rPr>
              <w:t>工商業團體、宗教、職業及類似組織、個人及家庭用品維修、洗衣、理容、殯葬、家事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等</w:t>
            </w:r>
          </w:p>
        </w:tc>
      </w:tr>
    </w:tbl>
    <w:p w:rsidR="006A0073" w:rsidRDefault="006A0073" w:rsidP="00AA5089">
      <w:pPr>
        <w:widowControl/>
        <w:adjustRightInd w:val="0"/>
        <w:snapToGrid w:val="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263C11" w:rsidRDefault="00263C11" w:rsidP="00AA5089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10</w:t>
      </w:r>
      <w:r w:rsidR="007F611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</w:t>
      </w:r>
      <w:r w:rsidRPr="000E3C9E">
        <w:rPr>
          <w:rFonts w:ascii="標楷體" w:eastAsia="標楷體" w:hAnsi="標楷體" w:hint="eastAsia"/>
          <w:sz w:val="36"/>
        </w:rPr>
        <w:t>各學</w:t>
      </w:r>
      <w:r w:rsidR="007F6117">
        <w:rPr>
          <w:rFonts w:ascii="標楷體" w:eastAsia="標楷體" w:hAnsi="標楷體" w:hint="eastAsia"/>
          <w:sz w:val="36"/>
        </w:rPr>
        <w:t>系</w:t>
      </w:r>
      <w:r>
        <w:rPr>
          <w:rFonts w:ascii="標楷體" w:eastAsia="標楷體" w:hAnsi="標楷體" w:hint="eastAsia"/>
          <w:sz w:val="36"/>
        </w:rPr>
        <w:t>畢業滿三年畢業生主要分布之工作職業類型</w:t>
      </w:r>
    </w:p>
    <w:p w:rsidR="00263C11" w:rsidRDefault="00263C11" w:rsidP="00AA5089">
      <w:pPr>
        <w:adjustRightInd w:val="0"/>
        <w:snapToGrid w:val="0"/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文創系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企管系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旅遊系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財金系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管理學院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577C1B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77C1B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8275C4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577C1B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D34BB7" w:rsidRPr="00FD220B" w:rsidRDefault="00C4530D" w:rsidP="008275C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8275C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  <w:r w:rsidR="00C4530D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13</w:t>
            </w:r>
            <w:r w:rsidR="00C4530D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16</w:t>
            </w:r>
            <w:r w:rsidR="00C4530D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67.65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(2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0.59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4530D" w:rsidRPr="00FD220B" w:rsidRDefault="00D34BB7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D34BB7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金融財務類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47.37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(2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.0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物流運輸類</w:t>
            </w:r>
          </w:p>
          <w:p w:rsidR="00C4530D" w:rsidRPr="00FD220B" w:rsidRDefault="00C4530D" w:rsidP="008275C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C4530D" w:rsidRPr="00FD220B" w:rsidRDefault="00C4530D" w:rsidP="008275C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9.1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7%)</w:t>
            </w:r>
          </w:p>
        </w:tc>
      </w:tr>
    </w:tbl>
    <w:p w:rsidR="00263C11" w:rsidRPr="00FD220B" w:rsidRDefault="00263C11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文學系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外文系</w:t>
            </w:r>
          </w:p>
        </w:tc>
        <w:tc>
          <w:tcPr>
            <w:tcW w:w="2211" w:type="dxa"/>
          </w:tcPr>
          <w:p w:rsidR="00263C11" w:rsidRPr="00FD220B" w:rsidRDefault="00263C11" w:rsidP="007931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幼教系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生死系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人文學院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.00%)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(12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0%)</w:t>
            </w:r>
          </w:p>
          <w:p w:rsidR="00C4530D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  <w:r w:rsidR="00C4530D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(12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.5</w:t>
            </w:r>
            <w:r w:rsidR="00C4530D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275C4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8275C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8275C4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C4530D" w:rsidRPr="00FD220B" w:rsidRDefault="00C4530D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C4530D" w:rsidRPr="00FD220B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C4530D" w:rsidRPr="00FD220B" w:rsidRDefault="00C4530D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0%)</w:t>
            </w:r>
          </w:p>
          <w:p w:rsidR="00D34BB7" w:rsidRPr="00FD220B" w:rsidRDefault="00D34BB7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5C4E60"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C4530D" w:rsidRPr="00FD220B" w:rsidRDefault="00C4530D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(5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C4E60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.3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C4530D" w:rsidRPr="00FD220B" w:rsidRDefault="00C4530D" w:rsidP="005C4E6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C4E6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4%)</w:t>
            </w:r>
          </w:p>
        </w:tc>
      </w:tr>
    </w:tbl>
    <w:p w:rsidR="00263C11" w:rsidRPr="00FD220B" w:rsidRDefault="00263C11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DE5981" w:rsidRPr="00FD220B" w:rsidTr="00FD220B">
        <w:trPr>
          <w:jc w:val="center"/>
        </w:trPr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國際系</w:t>
            </w:r>
          </w:p>
        </w:tc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傳播系</w:t>
            </w:r>
          </w:p>
        </w:tc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應社系</w:t>
            </w:r>
          </w:p>
        </w:tc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社會科學院</w:t>
            </w:r>
          </w:p>
        </w:tc>
      </w:tr>
      <w:tr w:rsidR="00DE5981" w:rsidRPr="00FD220B" w:rsidTr="00FD220B">
        <w:trPr>
          <w:jc w:val="center"/>
        </w:trPr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C4530D" w:rsidRPr="00FD220B" w:rsidRDefault="00C4530D" w:rsidP="00551D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4530D" w:rsidRPr="00FD220B" w:rsidRDefault="00C4530D" w:rsidP="00551D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.1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551D0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551D0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263C11" w:rsidRPr="00FD220B" w:rsidRDefault="00263C11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民音系</w:t>
            </w:r>
          </w:p>
        </w:tc>
        <w:tc>
          <w:tcPr>
            <w:tcW w:w="2211" w:type="dxa"/>
          </w:tcPr>
          <w:p w:rsidR="00263C11" w:rsidRPr="00FD220B" w:rsidRDefault="00263C11" w:rsidP="007931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建景系</w:t>
            </w:r>
          </w:p>
        </w:tc>
        <w:tc>
          <w:tcPr>
            <w:tcW w:w="2211" w:type="dxa"/>
          </w:tcPr>
          <w:p w:rsidR="00263C11" w:rsidRPr="00FD220B" w:rsidRDefault="00263C11" w:rsidP="00F01C6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產</w:t>
            </w:r>
            <w:r w:rsidR="00F01C69">
              <w:rPr>
                <w:rFonts w:ascii="Times New Roman" w:eastAsia="標楷體" w:hAnsi="Times New Roman" w:cs="Times New Roman" w:hint="eastAsia"/>
                <w:b/>
                <w:szCs w:val="24"/>
              </w:rPr>
              <w:t>設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視設系</w:t>
            </w:r>
          </w:p>
        </w:tc>
        <w:tc>
          <w:tcPr>
            <w:tcW w:w="2211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藝術學院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33.33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C4530D" w:rsidRPr="00FD220B" w:rsidRDefault="00C4530D" w:rsidP="00551D0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建築營造類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68.75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551D06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18.75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4530D" w:rsidRPr="00FD220B" w:rsidRDefault="00C4530D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551D0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6.25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物流運輸類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10.53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個人及社會服務類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建築營造類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263C11" w:rsidRPr="00FD220B" w:rsidRDefault="00263C11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DE5981" w:rsidRPr="00FD220B" w:rsidTr="00FD220B">
        <w:trPr>
          <w:jc w:val="center"/>
        </w:trPr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生技系</w:t>
            </w:r>
          </w:p>
        </w:tc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資工系</w:t>
            </w:r>
          </w:p>
        </w:tc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資管系</w:t>
            </w:r>
          </w:p>
        </w:tc>
        <w:tc>
          <w:tcPr>
            <w:tcW w:w="2778" w:type="dxa"/>
          </w:tcPr>
          <w:p w:rsidR="00263C11" w:rsidRPr="00FD220B" w:rsidRDefault="00263C11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科技學院</w:t>
            </w:r>
          </w:p>
        </w:tc>
      </w:tr>
      <w:tr w:rsidR="00DE5981" w:rsidRPr="00FD220B" w:rsidTr="00FD220B">
        <w:trPr>
          <w:jc w:val="center"/>
        </w:trPr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醫療保健類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42.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86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科學、技術、工程、數學類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司法、法律與公共安全類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C4BDA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93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金融財務類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52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B4DF1" w:rsidRPr="00FD220B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醫療保健類</w:t>
            </w:r>
          </w:p>
          <w:p w:rsidR="00C4530D" w:rsidRPr="00FD220B" w:rsidRDefault="00C4530D" w:rsidP="00C453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552B9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4530D" w:rsidRPr="00FD220B" w:rsidRDefault="00C4530D" w:rsidP="006552B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552B9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6.19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D34BB7" w:rsidRDefault="00D34BB7" w:rsidP="00AA5089">
      <w:pPr>
        <w:adjustRightInd w:val="0"/>
        <w:snapToGrid w:val="0"/>
      </w:pPr>
    </w:p>
    <w:p w:rsidR="006A0073" w:rsidRDefault="006A0073" w:rsidP="00AA5089">
      <w:pPr>
        <w:widowControl/>
        <w:adjustRightInd w:val="0"/>
        <w:snapToGrid w:val="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D34BB7" w:rsidRDefault="00D34BB7" w:rsidP="00AA5089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10</w:t>
      </w:r>
      <w:r w:rsidR="007F611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</w:t>
      </w:r>
      <w:r w:rsidR="000A6035" w:rsidRPr="000E3C9E">
        <w:rPr>
          <w:rFonts w:ascii="標楷體" w:eastAsia="標楷體" w:hAnsi="標楷體" w:hint="eastAsia"/>
          <w:sz w:val="36"/>
        </w:rPr>
        <w:t>各學</w:t>
      </w:r>
      <w:r w:rsidR="000A6035">
        <w:rPr>
          <w:rFonts w:ascii="標楷體" w:eastAsia="標楷體" w:hAnsi="標楷體" w:hint="eastAsia"/>
          <w:sz w:val="36"/>
        </w:rPr>
        <w:t>系</w:t>
      </w:r>
      <w:r>
        <w:rPr>
          <w:rFonts w:ascii="標楷體" w:eastAsia="標楷體" w:hAnsi="標楷體" w:hint="eastAsia"/>
          <w:sz w:val="36"/>
        </w:rPr>
        <w:t>畢業滿一年畢業生主要分布之工作職業類型</w:t>
      </w:r>
    </w:p>
    <w:p w:rsidR="00D34BB7" w:rsidRDefault="00D34BB7" w:rsidP="00AA5089">
      <w:pPr>
        <w:adjustRightInd w:val="0"/>
        <w:snapToGrid w:val="0"/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7931AA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文創系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企管系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旅遊系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財金系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管理學院</w:t>
            </w:r>
          </w:p>
        </w:tc>
      </w:tr>
      <w:tr w:rsidR="007931AA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金融財務類</w:t>
            </w:r>
          </w:p>
          <w:p w:rsidR="00306415" w:rsidRPr="00FD220B" w:rsidRDefault="00306415" w:rsidP="00B00D1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.1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12.90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306415" w:rsidRPr="00FD220B" w:rsidRDefault="00306415" w:rsidP="00B00D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6.98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金融財務類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11.76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(2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.3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(2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D1F" w:rsidRPr="00FD220B">
              <w:rPr>
                <w:rFonts w:ascii="Times New Roman" w:eastAsia="標楷體" w:hAnsi="Times New Roman" w:cs="Times New Roman" w:hint="eastAsia"/>
                <w:szCs w:val="24"/>
              </w:rPr>
              <w:t>金融財務類</w:t>
            </w:r>
          </w:p>
          <w:p w:rsidR="00306415" w:rsidRPr="00FD220B" w:rsidRDefault="00306415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B00D1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8%)</w:t>
            </w:r>
          </w:p>
        </w:tc>
      </w:tr>
    </w:tbl>
    <w:p w:rsidR="00D34BB7" w:rsidRPr="00FD220B" w:rsidRDefault="00D34BB7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文學系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外文系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幼教系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生死系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人文學院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00921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0A5F2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0A5F2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306415" w:rsidRPr="00FD220B" w:rsidRDefault="00306415" w:rsidP="000A5F2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306415" w:rsidRPr="00FD220B" w:rsidRDefault="00306415" w:rsidP="000A5F2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.2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D34BB7" w:rsidRPr="00FD220B" w:rsidRDefault="00D34BB7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DE5981" w:rsidRPr="00FD220B" w:rsidTr="00FD220B">
        <w:trPr>
          <w:jc w:val="center"/>
        </w:trPr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國際系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傳播系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應社系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社會科學院</w:t>
            </w:r>
          </w:p>
        </w:tc>
      </w:tr>
      <w:tr w:rsidR="00DE5981" w:rsidRPr="00FD220B" w:rsidTr="00FD220B">
        <w:trPr>
          <w:jc w:val="center"/>
        </w:trPr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75DD2" w:rsidRPr="00FD220B" w:rsidRDefault="00D34BB7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D34BB7" w:rsidRPr="00FD220B" w:rsidRDefault="00306415" w:rsidP="000A5F2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0A5F20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0A5F20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778" w:type="dxa"/>
          </w:tcPr>
          <w:p w:rsidR="00306415" w:rsidRPr="00FD220B" w:rsidRDefault="00D34BB7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(2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06415" w:rsidRPr="00FD220B" w:rsidRDefault="00D34BB7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306415"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D34BB7" w:rsidRPr="00FD220B" w:rsidRDefault="00D34BB7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民音系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建景系</w:t>
            </w:r>
          </w:p>
        </w:tc>
        <w:tc>
          <w:tcPr>
            <w:tcW w:w="2211" w:type="dxa"/>
          </w:tcPr>
          <w:p w:rsidR="00D34BB7" w:rsidRPr="00FD220B" w:rsidRDefault="00D34BB7" w:rsidP="00F01C6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產</w:t>
            </w:r>
            <w:r w:rsidR="00F01C69">
              <w:rPr>
                <w:rFonts w:ascii="Times New Roman" w:eastAsia="標楷體" w:hAnsi="Times New Roman" w:cs="Times New Roman" w:hint="eastAsia"/>
                <w:b/>
                <w:szCs w:val="24"/>
              </w:rPr>
              <w:t>設</w:t>
            </w:r>
            <w:bookmarkStart w:id="0" w:name="_GoBack"/>
            <w:bookmarkEnd w:id="0"/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視設系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藝術學院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個人及社會服務類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建築營造類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306415" w:rsidRPr="00FD220B" w:rsidRDefault="00D34BB7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物流運輸類</w:t>
            </w:r>
          </w:p>
          <w:p w:rsidR="00D34BB7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6.67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建築營造類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0.00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0AC5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54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教育與訓練類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75DD2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藝文與影音傳播類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41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9142CF" w:rsidRPr="00FD220B" w:rsidRDefault="00D34BB7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建築營造類</w:t>
            </w:r>
          </w:p>
          <w:p w:rsidR="00306415" w:rsidRPr="00FD220B" w:rsidRDefault="00306415" w:rsidP="0030641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(2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D34BB7" w:rsidRPr="00FD220B" w:rsidRDefault="00D34BB7" w:rsidP="00AA508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9142CF"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306415" w:rsidRPr="00FD220B" w:rsidRDefault="00306415" w:rsidP="009142C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9142CF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95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D34BB7" w:rsidRPr="00FD220B" w:rsidRDefault="00D34BB7" w:rsidP="00AA5089">
      <w:pPr>
        <w:adjustRightInd w:val="0"/>
        <w:snapToGrid w:val="0"/>
        <w:rPr>
          <w:szCs w:val="24"/>
        </w:rPr>
      </w:pPr>
    </w:p>
    <w:tbl>
      <w:tblPr>
        <w:tblStyle w:val="a3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E5981" w:rsidRPr="00FD220B" w:rsidTr="00FD220B">
        <w:trPr>
          <w:jc w:val="center"/>
        </w:trPr>
        <w:tc>
          <w:tcPr>
            <w:tcW w:w="2211" w:type="dxa"/>
          </w:tcPr>
          <w:p w:rsidR="00C14D1E" w:rsidRPr="00FD220B" w:rsidRDefault="00C14D1E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生技系</w:t>
            </w:r>
          </w:p>
        </w:tc>
        <w:tc>
          <w:tcPr>
            <w:tcW w:w="2211" w:type="dxa"/>
          </w:tcPr>
          <w:p w:rsidR="00C14D1E" w:rsidRPr="00FD220B" w:rsidRDefault="00C14D1E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資科進修</w:t>
            </w:r>
          </w:p>
        </w:tc>
        <w:tc>
          <w:tcPr>
            <w:tcW w:w="2211" w:type="dxa"/>
          </w:tcPr>
          <w:p w:rsidR="00C14D1E" w:rsidRPr="00FD220B" w:rsidRDefault="00C14D1E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資工系</w:t>
            </w:r>
          </w:p>
        </w:tc>
        <w:tc>
          <w:tcPr>
            <w:tcW w:w="2211" w:type="dxa"/>
          </w:tcPr>
          <w:p w:rsidR="00C14D1E" w:rsidRPr="00FD220B" w:rsidRDefault="00C14D1E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資管系</w:t>
            </w:r>
          </w:p>
        </w:tc>
        <w:tc>
          <w:tcPr>
            <w:tcW w:w="2211" w:type="dxa"/>
          </w:tcPr>
          <w:p w:rsidR="00C14D1E" w:rsidRPr="00FD220B" w:rsidRDefault="00C14D1E" w:rsidP="00AA50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/>
                <w:b/>
                <w:szCs w:val="24"/>
              </w:rPr>
              <w:t>科技學院</w:t>
            </w:r>
          </w:p>
        </w:tc>
      </w:tr>
      <w:tr w:rsidR="00DE5981" w:rsidRPr="00FD220B" w:rsidTr="00FD220B">
        <w:trPr>
          <w:jc w:val="center"/>
        </w:trPr>
        <w:tc>
          <w:tcPr>
            <w:tcW w:w="2211" w:type="dxa"/>
          </w:tcPr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(16.67%)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行銷與銷售類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(16.67%)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政府公共事務類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(16.67%)</w:t>
            </w:r>
          </w:p>
        </w:tc>
        <w:tc>
          <w:tcPr>
            <w:tcW w:w="2211" w:type="dxa"/>
          </w:tcPr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(18.18%)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(18.18%)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企業經營管理類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(18.18%)</w:t>
            </w:r>
          </w:p>
        </w:tc>
        <w:tc>
          <w:tcPr>
            <w:tcW w:w="2211" w:type="dxa"/>
          </w:tcPr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89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科學、技術、工程、數學類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製造類</w:t>
            </w:r>
          </w:p>
          <w:p w:rsidR="00C14D1E" w:rsidRPr="00FD220B" w:rsidRDefault="00C14D1E" w:rsidP="00D278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  <w:tc>
          <w:tcPr>
            <w:tcW w:w="2211" w:type="dxa"/>
          </w:tcPr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02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物流運輸類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(5</w:t>
            </w:r>
            <w:r w:rsidR="00D278CE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.2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6%)</w:t>
            </w:r>
          </w:p>
        </w:tc>
        <w:tc>
          <w:tcPr>
            <w:tcW w:w="2211" w:type="dxa"/>
          </w:tcPr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資訊科技類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427B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60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3427B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18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天然資源、食品與農業類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427B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3427B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D278CE" w:rsidRPr="00FD220B">
              <w:rPr>
                <w:rFonts w:ascii="Times New Roman" w:eastAsia="標楷體" w:hAnsi="Times New Roman" w:cs="Times New Roman" w:hint="eastAsia"/>
                <w:szCs w:val="24"/>
              </w:rPr>
              <w:t>休閒與觀光旅遊類</w:t>
            </w:r>
          </w:p>
          <w:p w:rsidR="00C14D1E" w:rsidRPr="00FD220B" w:rsidRDefault="00C14D1E" w:rsidP="00C14D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427B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 w:rsidR="003427B6"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31</w:t>
            </w:r>
            <w:r w:rsidRPr="00FD220B">
              <w:rPr>
                <w:rFonts w:ascii="Times New Roman" w:eastAsia="標楷體" w:hAnsi="Times New Roman" w:cs="Times New Roman" w:hint="eastAsia"/>
                <w:b/>
                <w:szCs w:val="24"/>
              </w:rPr>
              <w:t>%)</w:t>
            </w:r>
          </w:p>
        </w:tc>
      </w:tr>
    </w:tbl>
    <w:p w:rsidR="00B23809" w:rsidRDefault="00B23809">
      <w:pPr>
        <w:widowControl/>
      </w:pPr>
      <w:r>
        <w:br w:type="page"/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409"/>
        <w:gridCol w:w="5670"/>
      </w:tblGrid>
      <w:tr w:rsidR="00B23809" w:rsidRPr="00B23809" w:rsidTr="009F12D2">
        <w:trPr>
          <w:trHeight w:val="398"/>
          <w:tblHeader/>
        </w:trPr>
        <w:tc>
          <w:tcPr>
            <w:tcW w:w="4365" w:type="dxa"/>
            <w:gridSpan w:val="2"/>
            <w:shd w:val="clear" w:color="auto" w:fill="DDD9C3" w:themeFill="background2" w:themeFillShade="E6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職業類型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類型說明</w:t>
            </w:r>
          </w:p>
        </w:tc>
      </w:tr>
      <w:tr w:rsidR="00B23809" w:rsidRPr="00B23809" w:rsidTr="009F12D2">
        <w:trPr>
          <w:trHeight w:val="1851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建築營造類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建築規劃設計</w:t>
            </w:r>
          </w:p>
          <w:p w:rsidR="00B23809" w:rsidRPr="00B23809" w:rsidRDefault="00B23809" w:rsidP="00B2380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營造及維護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B23809" w:rsidRPr="00B23809" w:rsidTr="009F12D2">
        <w:trPr>
          <w:trHeight w:val="1980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製造類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生產管理</w:t>
            </w:r>
          </w:p>
          <w:p w:rsidR="00B23809" w:rsidRPr="00B23809" w:rsidRDefault="00B23809" w:rsidP="00B2380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製程研發</w:t>
            </w:r>
          </w:p>
          <w:p w:rsidR="00B23809" w:rsidRPr="00B23809" w:rsidRDefault="00B23809" w:rsidP="00B2380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設備安裝維護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7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品質管理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8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資材及庫存規劃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9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工業安全管理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B23809" w:rsidRPr="00B23809" w:rsidTr="009F12D2">
        <w:trPr>
          <w:trHeight w:val="1090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科學、技術、工程、數學類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工程及技術</w:t>
            </w:r>
          </w:p>
          <w:p w:rsidR="00B23809" w:rsidRPr="00B23809" w:rsidRDefault="00B23809" w:rsidP="00B23809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數學及科學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B23809" w:rsidRPr="00B23809" w:rsidTr="009F12D2">
        <w:trPr>
          <w:trHeight w:val="2281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物流運輸類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運輸作業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0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物流規劃及管理</w:t>
              </w:r>
            </w:hyperlink>
            <w:r w:rsidR="00B23809" w:rsidRPr="00B238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1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運輸工程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2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運輸規劃及管理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將物料或產品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B23809" w:rsidRPr="00B23809" w:rsidTr="009F12D2">
        <w:trPr>
          <w:trHeight w:val="435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天然資源、食品與農業類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食品生產與加工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3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植物研究發展與應用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4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動物研究發展與應用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5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自然資源保育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6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環境保護與衛生</w:t>
              </w:r>
            </w:hyperlink>
          </w:p>
          <w:p w:rsidR="00B23809" w:rsidRDefault="00B75993" w:rsidP="00B23809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7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農業經營</w:t>
              </w:r>
            </w:hyperlink>
          </w:p>
          <w:p w:rsidR="006E3874" w:rsidRPr="006E3874" w:rsidRDefault="006E3874" w:rsidP="006E387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</w:tc>
      </w:tr>
      <w:tr w:rsidR="00B23809" w:rsidRPr="00B23809" w:rsidTr="009F12D2">
        <w:trPr>
          <w:trHeight w:val="1975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醫療保健類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醫療服務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8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長期照護服務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9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公共衛生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0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健康產業及醫務管理</w:t>
              </w:r>
            </w:hyperlink>
          </w:p>
          <w:p w:rsidR="006E3874" w:rsidRPr="006E3874" w:rsidRDefault="00B75993" w:rsidP="009F12D2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1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生技研發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B23809" w:rsidRPr="00B23809" w:rsidTr="009F12D2">
        <w:trPr>
          <w:trHeight w:val="1187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藝文與影音傳播類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影視傳播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2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印刷出版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3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視覺藝術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4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表演藝術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5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新聞傳播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6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通訊傳播</w:t>
              </w:r>
            </w:hyperlink>
          </w:p>
          <w:p w:rsidR="006E3874" w:rsidRPr="006E3874" w:rsidRDefault="00B23809" w:rsidP="009F12D2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設計產業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規劃設計、製作、展出表演和出版藝文及影音相關作品，包括視覺設計、通訊傳播、表演藝術、印刷出版、新聞電視廣播及電影、包裝說明、工藝設計等。</w:t>
            </w:r>
          </w:p>
        </w:tc>
      </w:tr>
      <w:tr w:rsidR="00B23809" w:rsidRPr="00B23809" w:rsidTr="009F12D2">
        <w:trPr>
          <w:trHeight w:val="577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資訊科技類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網路規劃與建置管理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7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資訊支援與服務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8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數位內容與傳播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29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軟體開發及程式設計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B23809" w:rsidRPr="00B23809" w:rsidTr="009F12D2">
        <w:trPr>
          <w:trHeight w:val="1187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金融財務類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證券及投資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0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財務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1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銀行金融業務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2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保險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3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會計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B23809" w:rsidRPr="00B23809" w:rsidTr="009F12D2">
        <w:trPr>
          <w:trHeight w:val="1576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企業經營管理類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一般管理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4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企業資訊管理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5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人力資源管理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6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運籌管理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7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行政支援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B23809" w:rsidRPr="00B23809" w:rsidTr="009F12D2">
        <w:trPr>
          <w:trHeight w:val="718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行銷與銷售類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行銷管理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8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專業銷售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39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行銷傳播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0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市場分析研究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1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零售與通路管理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B23809" w:rsidRPr="00B23809" w:rsidTr="009F12D2">
        <w:trPr>
          <w:trHeight w:val="945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政府公共事務類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國防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2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外交與國際事務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3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公共行政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B23809" w:rsidRPr="00B23809" w:rsidTr="009F12D2">
        <w:trPr>
          <w:trHeight w:val="1176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教育與訓練類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教育行政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4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教學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B23809" w:rsidRPr="00B23809" w:rsidTr="009F12D2">
        <w:trPr>
          <w:trHeight w:val="1187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個人及社會服務類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學前照護及教育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5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心理諮商服務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6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社會工作服務</w:t>
              </w:r>
            </w:hyperlink>
          </w:p>
          <w:p w:rsidR="00B23809" w:rsidRPr="00B23809" w:rsidRDefault="00B75993" w:rsidP="00B238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7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個人照護服務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針對社會、家庭、個人及學齡前的幼童，提供心理及生理的專業性照護與服務，提升其生活品質與身心的健康與福祉。</w:t>
            </w:r>
          </w:p>
        </w:tc>
      </w:tr>
      <w:tr w:rsidR="00B23809" w:rsidRPr="00B23809" w:rsidTr="009F12D2">
        <w:trPr>
          <w:trHeight w:val="1728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休閒與觀光旅遊類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餐飲管理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8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旅館管理</w:t>
              </w:r>
            </w:hyperlink>
            <w:r w:rsidR="00B23809" w:rsidRPr="00B238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49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旅遊管理</w:t>
              </w:r>
            </w:hyperlink>
            <w:r w:rsidR="00B23809" w:rsidRPr="00B238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50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休閒遊憩管理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B23809" w:rsidRPr="00B23809" w:rsidTr="009F12D2">
        <w:trPr>
          <w:trHeight w:val="541"/>
        </w:trPr>
        <w:tc>
          <w:tcPr>
            <w:tcW w:w="1956" w:type="dxa"/>
            <w:shd w:val="clear" w:color="auto" w:fill="auto"/>
            <w:vAlign w:val="center"/>
          </w:tcPr>
          <w:p w:rsidR="00B23809" w:rsidRPr="00B23809" w:rsidRDefault="00B23809" w:rsidP="00B23809">
            <w:pPr>
              <w:tabs>
                <w:tab w:val="left" w:pos="600"/>
              </w:tabs>
              <w:adjustRightInd w:val="0"/>
              <w:snapToGrid w:val="0"/>
              <w:spacing w:line="320" w:lineRule="exact"/>
              <w:ind w:left="598" w:hangingChars="249" w:hanging="59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司法、法律與公共安全類</w:t>
            </w:r>
          </w:p>
        </w:tc>
        <w:tc>
          <w:tcPr>
            <w:tcW w:w="2409" w:type="dxa"/>
            <w:vAlign w:val="center"/>
          </w:tcPr>
          <w:p w:rsidR="00B23809" w:rsidRPr="00B23809" w:rsidRDefault="00B23809" w:rsidP="00B2380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</w:rPr>
              <w:t>司法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51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公共安全</w:t>
              </w:r>
            </w:hyperlink>
            <w:r w:rsidR="00B23809" w:rsidRPr="00B238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B23809" w:rsidRPr="00B23809" w:rsidRDefault="00B75993" w:rsidP="00B2380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52" w:history="1">
              <w:r w:rsidR="00B23809" w:rsidRPr="00B23809">
                <w:rPr>
                  <w:rFonts w:ascii="Times New Roman" w:eastAsia="標楷體" w:hAnsi="Times New Roman" w:cs="Times New Roman"/>
                  <w:color w:val="000000" w:themeColor="text1"/>
                </w:rPr>
                <w:t>法律服務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:rsidR="00B23809" w:rsidRPr="00B23809" w:rsidRDefault="00B23809" w:rsidP="00B23809">
            <w:pPr>
              <w:adjustRightInd w:val="0"/>
              <w:snapToGrid w:val="0"/>
              <w:spacing w:line="32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2380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:rsidR="00B23809" w:rsidRPr="00B23809" w:rsidRDefault="00B23809" w:rsidP="00AA5089">
      <w:pPr>
        <w:adjustRightInd w:val="0"/>
        <w:snapToGrid w:val="0"/>
      </w:pPr>
    </w:p>
    <w:sectPr w:rsidR="00B23809" w:rsidRPr="00B23809" w:rsidSect="009F12D2">
      <w:headerReference w:type="default" r:id="rId53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93" w:rsidRDefault="00B75993" w:rsidP="00893069">
      <w:r>
        <w:separator/>
      </w:r>
    </w:p>
  </w:endnote>
  <w:endnote w:type="continuationSeparator" w:id="0">
    <w:p w:rsidR="00B75993" w:rsidRDefault="00B75993" w:rsidP="0089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93" w:rsidRDefault="00B75993" w:rsidP="00893069">
      <w:r>
        <w:separator/>
      </w:r>
    </w:p>
  </w:footnote>
  <w:footnote w:type="continuationSeparator" w:id="0">
    <w:p w:rsidR="00B75993" w:rsidRDefault="00B75993" w:rsidP="0089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1F" w:rsidRPr="009F12D2" w:rsidRDefault="00B00D1F" w:rsidP="009F12D2">
    <w:pPr>
      <w:pStyle w:val="a4"/>
      <w:jc w:val="right"/>
      <w:rPr>
        <w:sz w:val="24"/>
      </w:rPr>
    </w:pPr>
    <w:r w:rsidRPr="009F12D2">
      <w:rPr>
        <w:rFonts w:eastAsia="標楷體"/>
        <w:b/>
        <w:bCs/>
        <w:sz w:val="24"/>
      </w:rPr>
      <w:t>【附件</w:t>
    </w:r>
    <w:r w:rsidRPr="009F12D2">
      <w:rPr>
        <w:rFonts w:eastAsia="標楷體" w:hint="eastAsia"/>
        <w:b/>
        <w:bCs/>
        <w:sz w:val="24"/>
      </w:rPr>
      <w:t>五</w:t>
    </w:r>
    <w:r w:rsidRPr="009F12D2">
      <w:rPr>
        <w:rFonts w:eastAsia="標楷體"/>
        <w:b/>
        <w:bCs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FF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445B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C18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1301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8E1C85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BC37A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287B9A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F74C2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B7F7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422EFA"/>
    <w:multiLevelType w:val="hybridMultilevel"/>
    <w:tmpl w:val="EE1AE0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24046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754C3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945D0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850D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8B4B3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952C6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89"/>
    <w:rsid w:val="00086133"/>
    <w:rsid w:val="000A5F20"/>
    <w:rsid w:val="000A6035"/>
    <w:rsid w:val="00124408"/>
    <w:rsid w:val="00153215"/>
    <w:rsid w:val="001D58FA"/>
    <w:rsid w:val="001F5A6A"/>
    <w:rsid w:val="0021343F"/>
    <w:rsid w:val="00263C11"/>
    <w:rsid w:val="00306415"/>
    <w:rsid w:val="00315634"/>
    <w:rsid w:val="003427B6"/>
    <w:rsid w:val="003C4BDA"/>
    <w:rsid w:val="003D2A89"/>
    <w:rsid w:val="004F0E99"/>
    <w:rsid w:val="00551D06"/>
    <w:rsid w:val="00577C1B"/>
    <w:rsid w:val="005C4E60"/>
    <w:rsid w:val="006552B9"/>
    <w:rsid w:val="006A0073"/>
    <w:rsid w:val="006C2D1C"/>
    <w:rsid w:val="006D5673"/>
    <w:rsid w:val="006E3874"/>
    <w:rsid w:val="00765E52"/>
    <w:rsid w:val="007931AA"/>
    <w:rsid w:val="007F6117"/>
    <w:rsid w:val="00807F71"/>
    <w:rsid w:val="008275C4"/>
    <w:rsid w:val="00893069"/>
    <w:rsid w:val="008F134D"/>
    <w:rsid w:val="009142CF"/>
    <w:rsid w:val="009325E4"/>
    <w:rsid w:val="009F12D2"/>
    <w:rsid w:val="00A25FE7"/>
    <w:rsid w:val="00A40AC5"/>
    <w:rsid w:val="00AA5089"/>
    <w:rsid w:val="00B00921"/>
    <w:rsid w:val="00B00D1F"/>
    <w:rsid w:val="00B23809"/>
    <w:rsid w:val="00B75993"/>
    <w:rsid w:val="00BE2FDA"/>
    <w:rsid w:val="00C14D1E"/>
    <w:rsid w:val="00C4530D"/>
    <w:rsid w:val="00CE17E5"/>
    <w:rsid w:val="00D278CE"/>
    <w:rsid w:val="00D34BB7"/>
    <w:rsid w:val="00D415C3"/>
    <w:rsid w:val="00D53FD4"/>
    <w:rsid w:val="00D75DD2"/>
    <w:rsid w:val="00D93B80"/>
    <w:rsid w:val="00DB4DF1"/>
    <w:rsid w:val="00DB5F70"/>
    <w:rsid w:val="00DE5981"/>
    <w:rsid w:val="00E404BC"/>
    <w:rsid w:val="00E733B8"/>
    <w:rsid w:val="00EB10F8"/>
    <w:rsid w:val="00F01C69"/>
    <w:rsid w:val="00F353CB"/>
    <w:rsid w:val="00FB3B05"/>
    <w:rsid w:val="00FD220B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15F33-FFAF-4403-9B09-710A7C41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0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069"/>
    <w:rPr>
      <w:sz w:val="20"/>
      <w:szCs w:val="20"/>
    </w:rPr>
  </w:style>
  <w:style w:type="paragraph" w:styleId="a8">
    <w:name w:val="List Paragraph"/>
    <w:basedOn w:val="a"/>
    <w:uiPriority w:val="34"/>
    <w:qFormat/>
    <w:rsid w:val="00AA50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AGC&amp;f2=4" TargetMode="External"/><Relationship Id="rId18" Type="http://schemas.openxmlformats.org/officeDocument/2006/relationships/hyperlink" Target="https://ucan.moe.edu.tw/search_1.asp?f1=HLC&amp;f2=35" TargetMode="External"/><Relationship Id="rId26" Type="http://schemas.openxmlformats.org/officeDocument/2006/relationships/hyperlink" Target="https://ucan.moe.edu.tw/search_1.asp?f1=ARC&amp;f2=14" TargetMode="External"/><Relationship Id="rId39" Type="http://schemas.openxmlformats.org/officeDocument/2006/relationships/hyperlink" Target="https://ucan.moe.edu.tw/search_1.asp?f1=MKC&amp;f2=58" TargetMode="External"/><Relationship Id="rId21" Type="http://schemas.openxmlformats.org/officeDocument/2006/relationships/hyperlink" Target="https://ucan.moe.edu.tw/search_1.asp?f1=HLC&amp;f2=38" TargetMode="External"/><Relationship Id="rId34" Type="http://schemas.openxmlformats.org/officeDocument/2006/relationships/hyperlink" Target="https://ucan.moe.edu.tw/search_1.asp?f1=BAC&amp;f2=16" TargetMode="External"/><Relationship Id="rId42" Type="http://schemas.openxmlformats.org/officeDocument/2006/relationships/hyperlink" Target="https://ucan.moe.edu.tw/search_1.asp?f1=GVC&amp;f2=29" TargetMode="External"/><Relationship Id="rId47" Type="http://schemas.openxmlformats.org/officeDocument/2006/relationships/hyperlink" Target="https://ucan.moe.edu.tw/search_1.asp?f1=HMC&amp;f2=42" TargetMode="External"/><Relationship Id="rId50" Type="http://schemas.openxmlformats.org/officeDocument/2006/relationships/hyperlink" Target="https://ucan.moe.edu.tw/search_1.asp?f1=HTC&amp;f2=4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ucan.moe.edu.tw/search_1.asp?f1=MNC&amp;f2=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an.moe.edu.tw/search_1.asp?f1=AGC&amp;f2=7" TargetMode="External"/><Relationship Id="rId29" Type="http://schemas.openxmlformats.org/officeDocument/2006/relationships/hyperlink" Target="https://ucan.moe.edu.tw/search_1.asp?f1=ITC&amp;f2=50" TargetMode="External"/><Relationship Id="rId11" Type="http://schemas.openxmlformats.org/officeDocument/2006/relationships/hyperlink" Target="https://ucan.moe.edu.tw/search_1.asp?f1=TRC&amp;f2=71" TargetMode="External"/><Relationship Id="rId24" Type="http://schemas.openxmlformats.org/officeDocument/2006/relationships/hyperlink" Target="https://ucan.moe.edu.tw/search_1.asp?f1=ARC&amp;f2=12" TargetMode="External"/><Relationship Id="rId32" Type="http://schemas.openxmlformats.org/officeDocument/2006/relationships/hyperlink" Target="https://ucan.moe.edu.tw/search_1.asp?f1=FNC&amp;f2=25" TargetMode="External"/><Relationship Id="rId37" Type="http://schemas.openxmlformats.org/officeDocument/2006/relationships/hyperlink" Target="https://ucan.moe.edu.tw/search_1.asp?f1=BAC&amp;f2=19" TargetMode="External"/><Relationship Id="rId40" Type="http://schemas.openxmlformats.org/officeDocument/2006/relationships/hyperlink" Target="https://ucan.moe.edu.tw/search_1.asp?f1=MKC&amp;f2=59" TargetMode="External"/><Relationship Id="rId45" Type="http://schemas.openxmlformats.org/officeDocument/2006/relationships/hyperlink" Target="https://ucan.moe.edu.tw/search_1.asp?f1=HMC&amp;f2=40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can.moe.edu.tw/search_1.asp?f1=TRC&amp;f2=70" TargetMode="External"/><Relationship Id="rId19" Type="http://schemas.openxmlformats.org/officeDocument/2006/relationships/hyperlink" Target="https://ucan.moe.edu.tw/search_1.asp?f1=HLC&amp;f2=36" TargetMode="External"/><Relationship Id="rId31" Type="http://schemas.openxmlformats.org/officeDocument/2006/relationships/hyperlink" Target="https://ucan.moe.edu.tw/search_1.asp?f1=FNC&amp;f2=24" TargetMode="External"/><Relationship Id="rId44" Type="http://schemas.openxmlformats.org/officeDocument/2006/relationships/hyperlink" Target="https://ucan.moe.edu.tw/search_1.asp?f1=EDC&amp;f2=21" TargetMode="External"/><Relationship Id="rId52" Type="http://schemas.openxmlformats.org/officeDocument/2006/relationships/hyperlink" Target="https://ucan.moe.edu.tw/search_1.asp?f1=LWC&amp;f2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an.moe.edu.tw/search_1.asp?f1=MNC&amp;f2=66" TargetMode="External"/><Relationship Id="rId14" Type="http://schemas.openxmlformats.org/officeDocument/2006/relationships/hyperlink" Target="https://ucan.moe.edu.tw/search_1.asp?f1=AGC&amp;f2=5" TargetMode="External"/><Relationship Id="rId22" Type="http://schemas.openxmlformats.org/officeDocument/2006/relationships/hyperlink" Target="https://ucan.moe.edu.tw/search_1.asp?f1=ARC&amp;f2=10" TargetMode="External"/><Relationship Id="rId27" Type="http://schemas.openxmlformats.org/officeDocument/2006/relationships/hyperlink" Target="https://ucan.moe.edu.tw/search_1.asp?f1=ITC&amp;f2=48" TargetMode="External"/><Relationship Id="rId30" Type="http://schemas.openxmlformats.org/officeDocument/2006/relationships/hyperlink" Target="https://ucan.moe.edu.tw/search_1.asp?f1=FNC&amp;f2=23" TargetMode="External"/><Relationship Id="rId35" Type="http://schemas.openxmlformats.org/officeDocument/2006/relationships/hyperlink" Target="https://ucan.moe.edu.tw/search_1.asp?f1=BAC&amp;f2=17" TargetMode="External"/><Relationship Id="rId43" Type="http://schemas.openxmlformats.org/officeDocument/2006/relationships/hyperlink" Target="https://ucan.moe.edu.tw/search_1.asp?f1=GVC&amp;f2=33" TargetMode="External"/><Relationship Id="rId48" Type="http://schemas.openxmlformats.org/officeDocument/2006/relationships/hyperlink" Target="https://ucan.moe.edu.tw/search_1.asp?f1=HTC&amp;f2=44" TargetMode="External"/><Relationship Id="rId8" Type="http://schemas.openxmlformats.org/officeDocument/2006/relationships/hyperlink" Target="https://ucan.moe.edu.tw/search_1.asp?f1=MNC&amp;f2=65" TargetMode="External"/><Relationship Id="rId51" Type="http://schemas.openxmlformats.org/officeDocument/2006/relationships/hyperlink" Target="https://ucan.moe.edu.tw/search_1.asp?f1=LWC&amp;f2=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an.moe.edu.tw/search_1.asp?f1=TRC&amp;f2=72" TargetMode="External"/><Relationship Id="rId17" Type="http://schemas.openxmlformats.org/officeDocument/2006/relationships/hyperlink" Target="https://ucan.moe.edu.tw/search_1.asp?f1=AGC&amp;f2=8" TargetMode="External"/><Relationship Id="rId25" Type="http://schemas.openxmlformats.org/officeDocument/2006/relationships/hyperlink" Target="https://ucan.moe.edu.tw/search_1.asp?f1=ARC&amp;f2=13" TargetMode="External"/><Relationship Id="rId33" Type="http://schemas.openxmlformats.org/officeDocument/2006/relationships/hyperlink" Target="https://ucan.moe.edu.tw/search_1.asp?f1=FNC&amp;f2=26" TargetMode="External"/><Relationship Id="rId38" Type="http://schemas.openxmlformats.org/officeDocument/2006/relationships/hyperlink" Target="https://ucan.moe.edu.tw/search_1.asp?f1=MKC&amp;f2=57" TargetMode="External"/><Relationship Id="rId46" Type="http://schemas.openxmlformats.org/officeDocument/2006/relationships/hyperlink" Target="https://ucan.moe.edu.tw/search_1.asp?f1=HMC&amp;f2=41" TargetMode="External"/><Relationship Id="rId20" Type="http://schemas.openxmlformats.org/officeDocument/2006/relationships/hyperlink" Target="https://ucan.moe.edu.tw/search_1.asp?f1=HLC&amp;f2=37" TargetMode="External"/><Relationship Id="rId41" Type="http://schemas.openxmlformats.org/officeDocument/2006/relationships/hyperlink" Target="https://ucan.moe.edu.tw/search_1.asp?f1=MKC&amp;f2=6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an.moe.edu.tw/search_1.asp?f1=AGC&amp;f2=6" TargetMode="External"/><Relationship Id="rId23" Type="http://schemas.openxmlformats.org/officeDocument/2006/relationships/hyperlink" Target="https://ucan.moe.edu.tw/search_1.asp?f1=ARC&amp;f2=11" TargetMode="External"/><Relationship Id="rId28" Type="http://schemas.openxmlformats.org/officeDocument/2006/relationships/hyperlink" Target="https://ucan.moe.edu.tw/search_1.asp?f1=ITC&amp;f2=49" TargetMode="External"/><Relationship Id="rId36" Type="http://schemas.openxmlformats.org/officeDocument/2006/relationships/hyperlink" Target="https://ucan.moe.edu.tw/search_1.asp?f1=BAC&amp;f2=18" TargetMode="External"/><Relationship Id="rId49" Type="http://schemas.openxmlformats.org/officeDocument/2006/relationships/hyperlink" Target="https://ucan.moe.edu.tw/search_1.asp?f1=HTC&amp;f2=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nhu</cp:lastModifiedBy>
  <cp:revision>10</cp:revision>
  <dcterms:created xsi:type="dcterms:W3CDTF">2019-10-07T11:30:00Z</dcterms:created>
  <dcterms:modified xsi:type="dcterms:W3CDTF">2020-02-06T01:47:00Z</dcterms:modified>
</cp:coreProperties>
</file>